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DF55A" w14:textId="058C4F83" w:rsidR="004F2DEE" w:rsidRPr="0019386C" w:rsidRDefault="004F2DEE" w:rsidP="00F31805">
      <w:pPr>
        <w:rPr>
          <w:rFonts w:ascii="Arial" w:hAnsi="Arial" w:cs="Arial"/>
          <w:b/>
          <w:sz w:val="36"/>
          <w:szCs w:val="36"/>
        </w:rPr>
      </w:pPr>
      <w:r w:rsidRPr="0019386C">
        <w:rPr>
          <w:rFonts w:ascii="Arial" w:hAnsi="Arial" w:cs="Arial"/>
          <w:b/>
          <w:sz w:val="36"/>
          <w:szCs w:val="36"/>
        </w:rPr>
        <w:t xml:space="preserve">Scholing </w:t>
      </w:r>
      <w:r w:rsidR="00F31805" w:rsidRPr="0019386C">
        <w:rPr>
          <w:rFonts w:ascii="Arial" w:hAnsi="Arial" w:cs="Arial"/>
          <w:b/>
          <w:sz w:val="36"/>
          <w:szCs w:val="36"/>
        </w:rPr>
        <w:t>S</w:t>
      </w:r>
      <w:r w:rsidRPr="0019386C">
        <w:rPr>
          <w:rFonts w:ascii="Arial" w:hAnsi="Arial" w:cs="Arial"/>
          <w:b/>
          <w:sz w:val="36"/>
          <w:szCs w:val="36"/>
        </w:rPr>
        <w:t>amenlevingsopbouw</w:t>
      </w:r>
    </w:p>
    <w:p w14:paraId="5B4A4D7E" w14:textId="05466B39" w:rsidR="004F2DEE" w:rsidRPr="0019386C" w:rsidRDefault="004F2DEE" w:rsidP="00F31805">
      <w:pPr>
        <w:pStyle w:val="Koptekst"/>
        <w:rPr>
          <w:rFonts w:ascii="Arial" w:hAnsi="Arial" w:cs="Arial"/>
          <w:color w:val="000000" w:themeColor="text1"/>
          <w:sz w:val="22"/>
          <w:szCs w:val="22"/>
        </w:rPr>
      </w:pPr>
    </w:p>
    <w:p w14:paraId="798C2DAA" w14:textId="77777777" w:rsidR="003345D4" w:rsidRDefault="003345D4" w:rsidP="00F31805">
      <w:pPr>
        <w:pStyle w:val="Koptekst"/>
        <w:rPr>
          <w:color w:val="000000" w:themeColor="text1"/>
          <w:sz w:val="22"/>
          <w:szCs w:val="22"/>
        </w:rPr>
      </w:pPr>
    </w:p>
    <w:p w14:paraId="4C8BC5C5" w14:textId="234EDD72" w:rsidR="004F2DEE" w:rsidRDefault="004F2DEE" w:rsidP="00F31805">
      <w:pPr>
        <w:pStyle w:val="Koptekst"/>
        <w:rPr>
          <w:rFonts w:ascii="Trinite Roman Wide" w:hAnsi="Trinite Roman Wide"/>
          <w:color w:val="000000" w:themeColor="text1"/>
          <w:sz w:val="22"/>
          <w:szCs w:val="22"/>
        </w:rPr>
      </w:pPr>
      <w:r w:rsidRPr="003345D4">
        <w:rPr>
          <w:rFonts w:ascii="Trinite Roman Wide" w:hAnsi="Trinite Roman Wide"/>
          <w:color w:val="000000" w:themeColor="text1"/>
          <w:sz w:val="22"/>
          <w:szCs w:val="22"/>
        </w:rPr>
        <w:t>In de kadernotitie Samenlevingsopbouw van augustus 2016 (Tinten Welzijnsgroep Vitale wijken door het versterken van actief burgerschap) wordt aangegeven dat er behoefte is aan versterking van het buurtwerk door scholing &amp; ontwikkeling. De visie van Tinten op samenlevingsopbouw 2016 vraagt om een profiel van een werker, die beschikt over een breed scala aan competenties om daarmee uitvoering te geven aan processen in de samenleving.</w:t>
      </w:r>
    </w:p>
    <w:p w14:paraId="239222E7" w14:textId="77777777" w:rsidR="003345D4" w:rsidRPr="003345D4" w:rsidRDefault="003345D4" w:rsidP="00F31805">
      <w:pPr>
        <w:pStyle w:val="Koptekst"/>
        <w:rPr>
          <w:rFonts w:ascii="Trinite Roman Wide" w:hAnsi="Trinite Roman Wide"/>
          <w:sz w:val="22"/>
          <w:szCs w:val="22"/>
        </w:rPr>
      </w:pPr>
    </w:p>
    <w:p w14:paraId="292EFF18" w14:textId="39EAB1D5" w:rsidR="004F2DEE" w:rsidRPr="003345D4" w:rsidRDefault="004F2DEE" w:rsidP="00F31805">
      <w:pPr>
        <w:spacing w:after="160"/>
        <w:rPr>
          <w:rFonts w:ascii="Trinite Roman Wide" w:hAnsi="Trinite Roman Wide"/>
          <w:sz w:val="22"/>
          <w:szCs w:val="22"/>
        </w:rPr>
      </w:pPr>
      <w:r w:rsidRPr="003345D4">
        <w:rPr>
          <w:rFonts w:ascii="Trinite Roman Wide" w:hAnsi="Trinite Roman Wide"/>
          <w:sz w:val="22"/>
          <w:szCs w:val="22"/>
        </w:rPr>
        <w:t>Vanuit de gedachte “Samenlevingsopbouw doe je vanuit een visie op mens en samenleving” begint een scholingsprogramma voor samenlevingsopbouw met een basistraining over de visie van Tinten op mens, maatschappij en de gezonde vitale buurt. Dit onderdeel bestaat uit een e-learning en een verwerkingsbijeenkomst / werkcollege en kost je in totaal 10 uur.</w:t>
      </w:r>
    </w:p>
    <w:p w14:paraId="0AFCFE1C" w14:textId="67455C1F" w:rsidR="004F2DEE" w:rsidRPr="004F2DEE" w:rsidRDefault="004F2DEE" w:rsidP="00F31805">
      <w:pPr>
        <w:spacing w:after="160"/>
        <w:rPr>
          <w:rFonts w:ascii="Arial" w:hAnsi="Arial" w:cs="Arial"/>
          <w:sz w:val="22"/>
          <w:szCs w:val="22"/>
        </w:rPr>
      </w:pPr>
      <w:r w:rsidRPr="004F2DEE">
        <w:rPr>
          <w:rFonts w:ascii="Arial" w:hAnsi="Arial" w:cs="Arial"/>
          <w:b/>
        </w:rPr>
        <w:t>Leeruitkomsten</w:t>
      </w:r>
    </w:p>
    <w:p w14:paraId="5C0E955F" w14:textId="77777777" w:rsidR="004F2DEE" w:rsidRPr="004F2DEE" w:rsidRDefault="004F2DEE" w:rsidP="00F31805">
      <w:pPr>
        <w:pStyle w:val="Lijstalinea"/>
        <w:numPr>
          <w:ilvl w:val="0"/>
          <w:numId w:val="8"/>
        </w:numPr>
        <w:spacing w:after="120"/>
      </w:pPr>
      <w:r w:rsidRPr="004F2DEE">
        <w:t>De medewerker kent het kader voor samenlevingsopbouw.</w:t>
      </w:r>
    </w:p>
    <w:p w14:paraId="36854FEE" w14:textId="77777777" w:rsidR="004F2DEE" w:rsidRPr="004F2DEE" w:rsidRDefault="004F2DEE" w:rsidP="00F31805">
      <w:pPr>
        <w:pStyle w:val="Lijstalinea"/>
        <w:numPr>
          <w:ilvl w:val="0"/>
          <w:numId w:val="8"/>
        </w:numPr>
        <w:spacing w:after="120"/>
      </w:pPr>
      <w:r w:rsidRPr="004F2DEE">
        <w:t>De medewerker werkt samen met bewoners aan leefbaarheid</w:t>
      </w:r>
    </w:p>
    <w:p w14:paraId="33581EF3" w14:textId="77777777" w:rsidR="004F2DEE" w:rsidRPr="004F2DEE" w:rsidRDefault="004F2DEE" w:rsidP="00F31805">
      <w:pPr>
        <w:pStyle w:val="Lijstalinea"/>
        <w:numPr>
          <w:ilvl w:val="0"/>
          <w:numId w:val="8"/>
        </w:numPr>
        <w:spacing w:after="120"/>
      </w:pPr>
      <w:r w:rsidRPr="004F2DEE">
        <w:t>De medewerker past activerende interventies toe die bewoners faciliteren in hun proces.</w:t>
      </w:r>
    </w:p>
    <w:p w14:paraId="56A820AD" w14:textId="77777777" w:rsidR="004F2DEE" w:rsidRDefault="004F2DEE" w:rsidP="00F31805"/>
    <w:p w14:paraId="0AFA62DE" w14:textId="1BC552B2" w:rsidR="004F2DEE" w:rsidRPr="004F2DEE" w:rsidRDefault="004F2DEE" w:rsidP="00F31805">
      <w:pPr>
        <w:rPr>
          <w:rFonts w:ascii="Arial" w:hAnsi="Arial" w:cs="Arial"/>
          <w:b/>
        </w:rPr>
      </w:pPr>
      <w:r w:rsidRPr="004F2DEE">
        <w:rPr>
          <w:rFonts w:ascii="Arial" w:hAnsi="Arial" w:cs="Arial"/>
          <w:b/>
        </w:rPr>
        <w:t>Onderwerpen digitale toets en basis-werkcollege</w:t>
      </w:r>
    </w:p>
    <w:p w14:paraId="42AFA635" w14:textId="77777777" w:rsidR="004F2DEE" w:rsidRPr="004F2DEE" w:rsidRDefault="004F2DEE" w:rsidP="00F31805">
      <w:pPr>
        <w:rPr>
          <w:rFonts w:ascii="Arial" w:hAnsi="Arial" w:cs="Arial"/>
          <w:b/>
        </w:rPr>
      </w:pPr>
    </w:p>
    <w:tbl>
      <w:tblPr>
        <w:tblStyle w:val="Tabelraster"/>
        <w:tblW w:w="9356" w:type="dxa"/>
        <w:tblInd w:w="108" w:type="dxa"/>
        <w:tblLook w:val="04A0" w:firstRow="1" w:lastRow="0" w:firstColumn="1" w:lastColumn="0" w:noHBand="0" w:noVBand="1"/>
      </w:tblPr>
      <w:tblGrid>
        <w:gridCol w:w="9356"/>
      </w:tblGrid>
      <w:tr w:rsidR="004F2DEE" w:rsidRPr="004F2DEE" w14:paraId="5B590AA1" w14:textId="77777777" w:rsidTr="004F2DEE">
        <w:tc>
          <w:tcPr>
            <w:tcW w:w="9356" w:type="dxa"/>
            <w:shd w:val="clear" w:color="auto" w:fill="D9D9D9" w:themeFill="background1" w:themeFillShade="D9"/>
          </w:tcPr>
          <w:p w14:paraId="6CAE70CD" w14:textId="7E6EFE89" w:rsidR="004F2DEE" w:rsidRPr="004F2DEE" w:rsidRDefault="004F2DEE" w:rsidP="00F31805">
            <w:pPr>
              <w:rPr>
                <w:rFonts w:ascii="Trinite Roman Wide" w:hAnsi="Trinite Roman Wide"/>
              </w:rPr>
            </w:pPr>
            <w:r w:rsidRPr="004F2DEE">
              <w:rPr>
                <w:rFonts w:ascii="Trinite Roman Wide" w:hAnsi="Trinite Roman Wide"/>
              </w:rPr>
              <w:t>Onderwerp 1:  Het kader voor samenlevingsopbouw</w:t>
            </w:r>
          </w:p>
          <w:p w14:paraId="03E74BF1" w14:textId="77777777" w:rsidR="004F2DEE" w:rsidRPr="004F2DEE" w:rsidRDefault="004F2DEE" w:rsidP="00F31805">
            <w:pPr>
              <w:rPr>
                <w:rFonts w:ascii="Trinite Roman Wide" w:hAnsi="Trinite Roman Wide"/>
              </w:rPr>
            </w:pPr>
          </w:p>
        </w:tc>
      </w:tr>
      <w:tr w:rsidR="004F2DEE" w:rsidRPr="004F2DEE" w14:paraId="59FDDEA3" w14:textId="77777777" w:rsidTr="004F2DEE">
        <w:tc>
          <w:tcPr>
            <w:tcW w:w="9356" w:type="dxa"/>
          </w:tcPr>
          <w:p w14:paraId="799A8465" w14:textId="77777777" w:rsidR="004F2DEE" w:rsidRDefault="004F2DEE" w:rsidP="00F31805">
            <w:pPr>
              <w:pStyle w:val="Lijstalinea"/>
            </w:pPr>
          </w:p>
          <w:p w14:paraId="0B960E94" w14:textId="2AB4EAA5" w:rsidR="004F2DEE" w:rsidRPr="004F2DEE" w:rsidRDefault="004F2DEE" w:rsidP="00F31805">
            <w:pPr>
              <w:pStyle w:val="Lijstalinea"/>
              <w:numPr>
                <w:ilvl w:val="0"/>
                <w:numId w:val="14"/>
              </w:numPr>
              <w:ind w:left="462"/>
            </w:pPr>
            <w:r w:rsidRPr="004F2DEE">
              <w:t xml:space="preserve">Tinten Welzijnsgroep: </w:t>
            </w:r>
            <w:r w:rsidRPr="004F2DEE">
              <w:rPr>
                <w:i/>
              </w:rPr>
              <w:t>`Vitale wijken door het versterken van actief burgerschap. Gemeenschappelijk kader specialisme buurtwerk:  Samenlevingsopbouw’</w:t>
            </w:r>
          </w:p>
          <w:p w14:paraId="0DA4FC39" w14:textId="2A2AD977" w:rsidR="004F2DEE" w:rsidRPr="004F2DEE" w:rsidRDefault="004F2DEE" w:rsidP="00F31805">
            <w:pPr>
              <w:pStyle w:val="Lijstalinea"/>
              <w:numPr>
                <w:ilvl w:val="0"/>
                <w:numId w:val="14"/>
              </w:numPr>
              <w:spacing w:after="120"/>
              <w:ind w:left="462"/>
            </w:pPr>
            <w:r w:rsidRPr="004F2DEE">
              <w:t xml:space="preserve">Denters, S. et al. </w:t>
            </w:r>
            <w:r w:rsidRPr="004F2DEE">
              <w:rPr>
                <w:i/>
              </w:rPr>
              <w:t>Burgers maken hun buurt</w:t>
            </w:r>
          </w:p>
          <w:p w14:paraId="5180EC80" w14:textId="77777777" w:rsidR="004F2DEE" w:rsidRPr="004F2DEE" w:rsidRDefault="004F2DEE" w:rsidP="00F31805"/>
        </w:tc>
      </w:tr>
      <w:tr w:rsidR="004F2DEE" w:rsidRPr="004F2DEE" w14:paraId="6402853E" w14:textId="77777777" w:rsidTr="004F2DEE">
        <w:tc>
          <w:tcPr>
            <w:tcW w:w="9356" w:type="dxa"/>
            <w:shd w:val="clear" w:color="auto" w:fill="D9D9D9" w:themeFill="background1" w:themeFillShade="D9"/>
          </w:tcPr>
          <w:p w14:paraId="351B20A5" w14:textId="77777777" w:rsidR="004F2DEE" w:rsidRPr="004F2DEE" w:rsidRDefault="004F2DEE" w:rsidP="00F31805"/>
          <w:p w14:paraId="0D7AC3FD" w14:textId="4B44FF04" w:rsidR="004F2DEE" w:rsidRPr="004F2DEE" w:rsidRDefault="004F2DEE" w:rsidP="00F31805">
            <w:pPr>
              <w:rPr>
                <w:rFonts w:ascii="Trinite Roman Wide" w:hAnsi="Trinite Roman Wide"/>
              </w:rPr>
            </w:pPr>
            <w:r w:rsidRPr="004F2DEE">
              <w:rPr>
                <w:rFonts w:ascii="Trinite Roman Wide" w:hAnsi="Trinite Roman Wide"/>
              </w:rPr>
              <w:t>Onderwerp 2: Leefbaarheid in de wijk</w:t>
            </w:r>
          </w:p>
          <w:p w14:paraId="01F9B788" w14:textId="77777777" w:rsidR="004F2DEE" w:rsidRPr="004F2DEE" w:rsidRDefault="004F2DEE" w:rsidP="00F31805"/>
        </w:tc>
      </w:tr>
      <w:tr w:rsidR="004F2DEE" w:rsidRPr="004F2DEE" w14:paraId="58A0B9D9" w14:textId="77777777" w:rsidTr="004F2DEE">
        <w:tc>
          <w:tcPr>
            <w:tcW w:w="9356" w:type="dxa"/>
          </w:tcPr>
          <w:p w14:paraId="5D1B031D" w14:textId="77777777" w:rsidR="004F2DEE" w:rsidRDefault="004F2DEE" w:rsidP="00F31805">
            <w:pPr>
              <w:pStyle w:val="Lijstalinea"/>
              <w:spacing w:after="120"/>
              <w:ind w:left="462"/>
            </w:pPr>
          </w:p>
          <w:p w14:paraId="09660132" w14:textId="420536FB" w:rsidR="004F2DEE" w:rsidRPr="000641BE" w:rsidRDefault="004F2DEE" w:rsidP="00F31805">
            <w:pPr>
              <w:pStyle w:val="Lijstalinea"/>
              <w:numPr>
                <w:ilvl w:val="0"/>
                <w:numId w:val="11"/>
              </w:numPr>
              <w:spacing w:after="120"/>
              <w:ind w:left="462"/>
            </w:pPr>
            <w:r>
              <w:t xml:space="preserve">Xanten, van H. </w:t>
            </w:r>
            <w:r w:rsidRPr="00FA0D8E">
              <w:rPr>
                <w:i/>
              </w:rPr>
              <w:t>Wijkanalyse: hoe doe je dat</w:t>
            </w:r>
            <w:r>
              <w:rPr>
                <w:i/>
              </w:rPr>
              <w:t>?</w:t>
            </w:r>
          </w:p>
          <w:p w14:paraId="2948A2DF" w14:textId="77777777" w:rsidR="004F2DEE" w:rsidRDefault="003248C4" w:rsidP="00F31805">
            <w:pPr>
              <w:pStyle w:val="Lijstalinea"/>
              <w:numPr>
                <w:ilvl w:val="0"/>
                <w:numId w:val="12"/>
              </w:numPr>
              <w:spacing w:after="120"/>
              <w:ind w:left="462"/>
            </w:pPr>
            <w:hyperlink r:id="rId11" w:history="1">
              <w:r w:rsidR="004F2DEE" w:rsidRPr="00E50D02">
                <w:rPr>
                  <w:rStyle w:val="Hyperlink"/>
                </w:rPr>
                <w:t>http://www.presentie.nl/video/presentie-toegelicht/item/4-presentie-in-10-minuten</w:t>
              </w:r>
            </w:hyperlink>
          </w:p>
          <w:p w14:paraId="629D1855" w14:textId="42ADDC9B" w:rsidR="004F2DEE" w:rsidRPr="00743380" w:rsidRDefault="004F2DEE" w:rsidP="00F31805">
            <w:pPr>
              <w:pStyle w:val="Lijstalinea"/>
              <w:numPr>
                <w:ilvl w:val="0"/>
                <w:numId w:val="12"/>
              </w:numPr>
              <w:spacing w:after="120"/>
              <w:ind w:left="462"/>
              <w:rPr>
                <w:color w:val="C0504D" w:themeColor="accent2"/>
              </w:rPr>
            </w:pPr>
            <w:r>
              <w:t xml:space="preserve">Houte de Lange, S. ten &amp; Bosch, A. van den. </w:t>
            </w:r>
            <w:r w:rsidRPr="00FA0D8E">
              <w:rPr>
                <w:i/>
              </w:rPr>
              <w:t>Toeval bestaat niet</w:t>
            </w:r>
          </w:p>
          <w:p w14:paraId="4FBE7524" w14:textId="77777777" w:rsidR="004F2DEE" w:rsidRPr="004F2DEE" w:rsidRDefault="004F2DEE" w:rsidP="00F31805">
            <w:pPr>
              <w:rPr>
                <w:color w:val="C0504D" w:themeColor="accent2"/>
              </w:rPr>
            </w:pPr>
          </w:p>
        </w:tc>
      </w:tr>
      <w:tr w:rsidR="004F2DEE" w:rsidRPr="004F2DEE" w14:paraId="2220EF60" w14:textId="77777777" w:rsidTr="004F2DEE">
        <w:tc>
          <w:tcPr>
            <w:tcW w:w="9356" w:type="dxa"/>
            <w:shd w:val="clear" w:color="auto" w:fill="D9D9D9" w:themeFill="background1" w:themeFillShade="D9"/>
          </w:tcPr>
          <w:p w14:paraId="368AC34B" w14:textId="77777777" w:rsidR="004F2DEE" w:rsidRDefault="004F2DEE" w:rsidP="00F31805">
            <w:pPr>
              <w:rPr>
                <w:color w:val="C0504D" w:themeColor="accent2"/>
              </w:rPr>
            </w:pPr>
          </w:p>
          <w:p w14:paraId="45AF0FFD" w14:textId="77777777" w:rsidR="004F2DEE" w:rsidRPr="004F2DEE" w:rsidRDefault="004F2DEE" w:rsidP="00F31805">
            <w:pPr>
              <w:rPr>
                <w:rFonts w:ascii="Trinite Roman Wide" w:hAnsi="Trinite Roman Wide"/>
              </w:rPr>
            </w:pPr>
            <w:r w:rsidRPr="004F2DEE">
              <w:rPr>
                <w:rFonts w:ascii="Trinite Roman Wide" w:hAnsi="Trinite Roman Wide"/>
              </w:rPr>
              <w:t>Onderwerp 3: Help bewoners het zelf te doen</w:t>
            </w:r>
          </w:p>
          <w:p w14:paraId="4E440281" w14:textId="0472DDAE" w:rsidR="004F2DEE" w:rsidRPr="004F2DEE" w:rsidRDefault="004F2DEE" w:rsidP="00F31805">
            <w:pPr>
              <w:rPr>
                <w:color w:val="C0504D" w:themeColor="accent2"/>
              </w:rPr>
            </w:pPr>
          </w:p>
        </w:tc>
      </w:tr>
      <w:tr w:rsidR="004F2DEE" w:rsidRPr="004F2DEE" w14:paraId="1882492A" w14:textId="77777777" w:rsidTr="004F2DEE">
        <w:tc>
          <w:tcPr>
            <w:tcW w:w="9356" w:type="dxa"/>
          </w:tcPr>
          <w:p w14:paraId="2913157A" w14:textId="77777777" w:rsidR="004F2DEE" w:rsidRDefault="004F2DEE" w:rsidP="00F31805">
            <w:pPr>
              <w:pStyle w:val="Lijstalinea"/>
              <w:spacing w:after="120"/>
            </w:pPr>
          </w:p>
          <w:p w14:paraId="2095E7BC" w14:textId="28C1ACE8" w:rsidR="004F2DEE" w:rsidRDefault="004F2DEE" w:rsidP="00F31805">
            <w:pPr>
              <w:pStyle w:val="Lijstalinea"/>
              <w:numPr>
                <w:ilvl w:val="0"/>
                <w:numId w:val="9"/>
              </w:numPr>
              <w:spacing w:after="120"/>
              <w:ind w:left="462"/>
            </w:pPr>
            <w:r w:rsidRPr="003605DD">
              <w:t>Engbersen</w:t>
            </w:r>
            <w:r>
              <w:t xml:space="preserve">, R. &amp; </w:t>
            </w:r>
            <w:r w:rsidRPr="003605DD">
              <w:t>Rensen</w:t>
            </w:r>
            <w:r>
              <w:t>, P.</w:t>
            </w:r>
            <w:r w:rsidRPr="003605DD">
              <w:t xml:space="preserve"> </w:t>
            </w:r>
            <w:r w:rsidRPr="00441F26">
              <w:rPr>
                <w:i/>
              </w:rPr>
              <w:t>Help mij het zelf te doen</w:t>
            </w:r>
          </w:p>
          <w:p w14:paraId="31E7E825" w14:textId="505FC975" w:rsidR="004F2DEE" w:rsidRDefault="004F2DEE" w:rsidP="00F31805">
            <w:pPr>
              <w:pStyle w:val="Lijstalinea"/>
              <w:numPr>
                <w:ilvl w:val="0"/>
                <w:numId w:val="9"/>
              </w:numPr>
              <w:spacing w:after="120"/>
              <w:ind w:left="462"/>
            </w:pPr>
            <w:r>
              <w:t xml:space="preserve">Liefhebber, S &amp; Dam, C van &amp; Kluft. M. </w:t>
            </w:r>
            <w:r w:rsidRPr="00441F26">
              <w:rPr>
                <w:i/>
              </w:rPr>
              <w:t>De kleine dingen die je doet</w:t>
            </w:r>
          </w:p>
          <w:p w14:paraId="663EF678" w14:textId="536D99E7" w:rsidR="004F2DEE" w:rsidRPr="004F2DEE" w:rsidRDefault="004F2DEE" w:rsidP="00F31805">
            <w:pPr>
              <w:rPr>
                <w:color w:val="C0504D" w:themeColor="accent2"/>
              </w:rPr>
            </w:pPr>
          </w:p>
        </w:tc>
      </w:tr>
    </w:tbl>
    <w:p w14:paraId="4AD3B518" w14:textId="77777777" w:rsidR="004F2DEE" w:rsidRPr="004F2DEE" w:rsidRDefault="004F2DEE" w:rsidP="00F31805">
      <w:pPr>
        <w:rPr>
          <w:color w:val="C0504D" w:themeColor="accent2"/>
        </w:rPr>
      </w:pPr>
    </w:p>
    <w:p w14:paraId="77C2538D" w14:textId="77777777" w:rsidR="004F2DEE" w:rsidRPr="004F2DEE" w:rsidRDefault="004F2DEE" w:rsidP="00F31805">
      <w:pPr>
        <w:rPr>
          <w:color w:val="C0504D" w:themeColor="accent2"/>
        </w:rPr>
      </w:pPr>
    </w:p>
    <w:p w14:paraId="260AECBD" w14:textId="77777777" w:rsidR="00F31805" w:rsidRDefault="00F31805" w:rsidP="00F31805">
      <w:pPr>
        <w:ind w:left="283"/>
        <w:rPr>
          <w:rFonts w:ascii="Trinite Roman Wide" w:hAnsi="Trinite Roman Wide"/>
        </w:rPr>
      </w:pPr>
    </w:p>
    <w:p w14:paraId="13B4FE7E" w14:textId="77777777" w:rsidR="00F31805" w:rsidRDefault="00F31805">
      <w:pPr>
        <w:spacing w:after="200" w:line="276" w:lineRule="auto"/>
        <w:rPr>
          <w:rFonts w:ascii="Trinite Roman Wide" w:hAnsi="Trinite Roman Wide"/>
        </w:rPr>
      </w:pPr>
      <w:r>
        <w:rPr>
          <w:rFonts w:ascii="Trinite Roman Wide" w:hAnsi="Trinite Roman Wide"/>
        </w:rPr>
        <w:br w:type="page"/>
      </w:r>
    </w:p>
    <w:p w14:paraId="7BBAF9B7" w14:textId="0C28C908" w:rsidR="004F2DEE" w:rsidRPr="003345D4" w:rsidRDefault="004F2DEE" w:rsidP="00F31805">
      <w:pPr>
        <w:ind w:left="283"/>
        <w:rPr>
          <w:rFonts w:ascii="Trinite Roman Wide" w:hAnsi="Trinite Roman Wide"/>
        </w:rPr>
      </w:pPr>
      <w:r w:rsidRPr="003345D4">
        <w:rPr>
          <w:rFonts w:ascii="Trinite Roman Wide" w:hAnsi="Trinite Roman Wide"/>
        </w:rPr>
        <w:lastRenderedPageBreak/>
        <w:t>Smaakt het lezen naar meer? Dan raden we je de volgende artikelen ook nog aan!</w:t>
      </w:r>
    </w:p>
    <w:p w14:paraId="505C8448" w14:textId="77777777" w:rsidR="003345D4" w:rsidRPr="003345D4" w:rsidRDefault="003345D4" w:rsidP="00F31805">
      <w:pPr>
        <w:ind w:left="283"/>
        <w:rPr>
          <w:rFonts w:ascii="Trinite Roman Wide" w:hAnsi="Trinite Roman Wide"/>
        </w:rPr>
      </w:pPr>
    </w:p>
    <w:p w14:paraId="4F0ACB0E" w14:textId="6026FB8A" w:rsidR="004F2DEE" w:rsidRPr="00F31805" w:rsidRDefault="003345D4" w:rsidP="00F31805">
      <w:pPr>
        <w:ind w:left="283"/>
        <w:rPr>
          <w:rFonts w:ascii="Trinite Roman Wide" w:hAnsi="Trinite Roman Wide"/>
          <w:sz w:val="22"/>
          <w:szCs w:val="22"/>
        </w:rPr>
      </w:pPr>
      <w:r w:rsidRPr="003345D4">
        <w:t>-</w:t>
      </w:r>
      <w:r w:rsidRPr="003345D4">
        <w:tab/>
      </w:r>
      <w:r w:rsidRPr="00F31805">
        <w:rPr>
          <w:rFonts w:ascii="Trinite Roman Wide" w:hAnsi="Trinite Roman Wide"/>
          <w:sz w:val="22"/>
          <w:szCs w:val="22"/>
        </w:rPr>
        <w:t>Movisie `Competentieprofiel Opbouwwerker’ .</w:t>
      </w:r>
    </w:p>
    <w:p w14:paraId="6C1CAF60" w14:textId="77777777" w:rsidR="004F2DEE" w:rsidRPr="003345D4" w:rsidRDefault="004F2DEE" w:rsidP="00F31805">
      <w:pPr>
        <w:pStyle w:val="Lijstalinea"/>
        <w:numPr>
          <w:ilvl w:val="0"/>
          <w:numId w:val="10"/>
        </w:numPr>
        <w:spacing w:after="120"/>
      </w:pPr>
      <w:r w:rsidRPr="003345D4">
        <w:t xml:space="preserve">Geertsema, H en Spierts, M. </w:t>
      </w:r>
      <w:r w:rsidRPr="003345D4">
        <w:rPr>
          <w:i/>
        </w:rPr>
        <w:t>Verstrengelde wortels</w:t>
      </w:r>
      <w:r w:rsidRPr="003345D4">
        <w:t xml:space="preserve">. Over de samensmelting van opbouwwerk en maatschappelijk werk. </w:t>
      </w:r>
    </w:p>
    <w:p w14:paraId="2380E72B" w14:textId="77777777" w:rsidR="004F2DEE" w:rsidRPr="003345D4" w:rsidRDefault="004F2DEE" w:rsidP="00F31805">
      <w:pPr>
        <w:pStyle w:val="Lijstalinea"/>
        <w:numPr>
          <w:ilvl w:val="0"/>
          <w:numId w:val="10"/>
        </w:numPr>
        <w:spacing w:after="120"/>
        <w:rPr>
          <w:i/>
        </w:rPr>
      </w:pPr>
      <w:r w:rsidRPr="003345D4">
        <w:t xml:space="preserve">Doornenbal, J. et al. </w:t>
      </w:r>
      <w:r w:rsidRPr="003345D4">
        <w:rPr>
          <w:i/>
        </w:rPr>
        <w:t>Ervaringskennis en dilemma’s van professionals in preventief en omgevingsgericht werken met ouders en kinderen.</w:t>
      </w:r>
    </w:p>
    <w:p w14:paraId="233128AD" w14:textId="77777777" w:rsidR="004F2DEE" w:rsidRPr="003345D4" w:rsidRDefault="004F2DEE" w:rsidP="00F31805">
      <w:pPr>
        <w:pStyle w:val="Lijstalinea"/>
        <w:numPr>
          <w:ilvl w:val="0"/>
          <w:numId w:val="10"/>
        </w:numPr>
        <w:spacing w:after="120"/>
        <w:rPr>
          <w:color w:val="C0504D" w:themeColor="accent2"/>
        </w:rPr>
      </w:pPr>
      <w:r w:rsidRPr="003345D4">
        <w:t xml:space="preserve">Jansen, E. </w:t>
      </w:r>
      <w:r w:rsidRPr="003345D4">
        <w:rPr>
          <w:i/>
        </w:rPr>
        <w:t>Keuzes en kwesties in het wijkgericht werken</w:t>
      </w:r>
    </w:p>
    <w:p w14:paraId="2FF23656" w14:textId="77777777" w:rsidR="004F2DEE" w:rsidRPr="003345D4" w:rsidRDefault="004F2DEE" w:rsidP="00F31805">
      <w:pPr>
        <w:pStyle w:val="Lijstalinea"/>
        <w:numPr>
          <w:ilvl w:val="0"/>
          <w:numId w:val="10"/>
        </w:numPr>
        <w:spacing w:after="120"/>
      </w:pPr>
      <w:r w:rsidRPr="003345D4">
        <w:t xml:space="preserve">Brörmann, N. </w:t>
      </w:r>
      <w:r w:rsidRPr="003345D4">
        <w:rPr>
          <w:i/>
        </w:rPr>
        <w:t>Methodebeschrijving ABCD</w:t>
      </w:r>
    </w:p>
    <w:p w14:paraId="0517D69A" w14:textId="77777777" w:rsidR="004F2DEE" w:rsidRPr="000641BE" w:rsidRDefault="004F2DEE" w:rsidP="00F31805">
      <w:pPr>
        <w:pStyle w:val="Lijstalinea"/>
        <w:ind w:left="643"/>
      </w:pPr>
    </w:p>
    <w:p w14:paraId="069DF177" w14:textId="40283B2A" w:rsidR="004F2DEE" w:rsidRDefault="004F2DEE" w:rsidP="00F31805">
      <w:pPr>
        <w:rPr>
          <w:rFonts w:ascii="Arial" w:hAnsi="Arial" w:cs="Arial"/>
          <w:b/>
        </w:rPr>
      </w:pPr>
      <w:r w:rsidRPr="003345D4">
        <w:rPr>
          <w:rFonts w:ascii="Arial" w:hAnsi="Arial" w:cs="Arial"/>
          <w:b/>
        </w:rPr>
        <w:t>Toets</w:t>
      </w:r>
    </w:p>
    <w:p w14:paraId="6272979E" w14:textId="77777777" w:rsidR="003345D4" w:rsidRPr="003345D4" w:rsidRDefault="003345D4" w:rsidP="00F31805">
      <w:pPr>
        <w:rPr>
          <w:rFonts w:ascii="Arial" w:hAnsi="Arial" w:cs="Arial"/>
          <w:b/>
        </w:rPr>
      </w:pPr>
    </w:p>
    <w:p w14:paraId="74451D7F" w14:textId="77777777" w:rsidR="004F2DEE" w:rsidRPr="003345D4" w:rsidRDefault="004F2DEE" w:rsidP="00F31805">
      <w:pPr>
        <w:rPr>
          <w:rFonts w:ascii="Trinite Roman Wide" w:hAnsi="Trinite Roman Wide"/>
          <w:sz w:val="22"/>
          <w:szCs w:val="22"/>
        </w:rPr>
      </w:pPr>
      <w:r w:rsidRPr="003345D4">
        <w:rPr>
          <w:rFonts w:ascii="Trinite Roman Wide" w:hAnsi="Trinite Roman Wide"/>
          <w:sz w:val="22"/>
          <w:szCs w:val="22"/>
        </w:rPr>
        <w:t xml:space="preserve">De toets bestaat uit twee opdrachten. Doe beide opdrachten en zorg ervoor dat je ze 5 werkdagen voorafgaande aan het werkcollege hebt geüpload in Pynter voorafgaand aan het werkcollege. Hetgeen je hebt geüpload neem je mee naar het werkcollege. De trainers gebruiken jullie materiaal om het werkcollege voor te bereiden. </w:t>
      </w:r>
    </w:p>
    <w:p w14:paraId="1A8984FA" w14:textId="77777777" w:rsidR="004F2DEE" w:rsidRDefault="004F2DEE" w:rsidP="00F31805"/>
    <w:tbl>
      <w:tblPr>
        <w:tblStyle w:val="Tabelraster"/>
        <w:tblW w:w="9356" w:type="dxa"/>
        <w:tblInd w:w="108" w:type="dxa"/>
        <w:tblLook w:val="04A0" w:firstRow="1" w:lastRow="0" w:firstColumn="1" w:lastColumn="0" w:noHBand="0" w:noVBand="1"/>
      </w:tblPr>
      <w:tblGrid>
        <w:gridCol w:w="9356"/>
      </w:tblGrid>
      <w:tr w:rsidR="003345D4" w:rsidRPr="004F2DEE" w14:paraId="51C09BB0" w14:textId="77777777" w:rsidTr="00EB2591">
        <w:tc>
          <w:tcPr>
            <w:tcW w:w="9356" w:type="dxa"/>
            <w:shd w:val="clear" w:color="auto" w:fill="D9D9D9" w:themeFill="background1" w:themeFillShade="D9"/>
          </w:tcPr>
          <w:p w14:paraId="79B28C63" w14:textId="562A62A6" w:rsidR="003345D4" w:rsidRPr="003345D4" w:rsidRDefault="003345D4" w:rsidP="00F31805">
            <w:pPr>
              <w:rPr>
                <w:rFonts w:ascii="Trinite Roman Wide" w:hAnsi="Trinite Roman Wide"/>
                <w:b/>
              </w:rPr>
            </w:pPr>
            <w:r w:rsidRPr="003345D4">
              <w:rPr>
                <w:rFonts w:ascii="Trinite Roman Wide" w:hAnsi="Trinite Roman Wide"/>
                <w:b/>
              </w:rPr>
              <w:t>Opdracht 1</w:t>
            </w:r>
          </w:p>
        </w:tc>
      </w:tr>
      <w:tr w:rsidR="003345D4" w:rsidRPr="004F2DEE" w14:paraId="429CEA40" w14:textId="77777777" w:rsidTr="00EB2591">
        <w:tc>
          <w:tcPr>
            <w:tcW w:w="9356" w:type="dxa"/>
          </w:tcPr>
          <w:p w14:paraId="7E838BC9" w14:textId="77777777" w:rsidR="003345D4" w:rsidRPr="003345D4" w:rsidRDefault="003345D4" w:rsidP="00F31805">
            <w:pPr>
              <w:rPr>
                <w:rFonts w:ascii="Trinite Roman Wide" w:hAnsi="Trinite Roman Wide"/>
                <w:sz w:val="22"/>
                <w:szCs w:val="22"/>
              </w:rPr>
            </w:pPr>
          </w:p>
          <w:p w14:paraId="7645BD01" w14:textId="1C9440B8" w:rsidR="003345D4" w:rsidRPr="003345D4" w:rsidRDefault="003345D4" w:rsidP="00F31805">
            <w:pPr>
              <w:rPr>
                <w:rFonts w:ascii="Trinite Roman Wide" w:hAnsi="Trinite Roman Wide"/>
                <w:sz w:val="22"/>
                <w:szCs w:val="22"/>
              </w:rPr>
            </w:pPr>
            <w:r w:rsidRPr="003345D4">
              <w:rPr>
                <w:rFonts w:ascii="Trinite Roman Wide" w:hAnsi="Trinite Roman Wide"/>
                <w:sz w:val="22"/>
                <w:szCs w:val="22"/>
              </w:rPr>
              <w:t>Beschrijf op één A4 hoe en waar jij je in de gelezen artikelen vijf uitgangspunten van de samenlevingsopbouw herkent. Geef aan op welke manier ze voor jou werken in je eigen beroepspraktijk. Geef ook aan waar je geïnspireerd bent geraakt door nieuwe inzichten. Na het uploaden neem je het mee naar het werkcollege.</w:t>
            </w:r>
          </w:p>
          <w:p w14:paraId="0804FE50" w14:textId="77777777" w:rsidR="003345D4" w:rsidRPr="003345D4" w:rsidRDefault="003345D4" w:rsidP="00F31805">
            <w:pPr>
              <w:rPr>
                <w:rFonts w:ascii="Trinite Roman Wide" w:hAnsi="Trinite Roman Wide"/>
                <w:sz w:val="22"/>
                <w:szCs w:val="22"/>
              </w:rPr>
            </w:pPr>
          </w:p>
        </w:tc>
      </w:tr>
      <w:tr w:rsidR="003345D4" w:rsidRPr="004F2DEE" w14:paraId="70E122D9" w14:textId="77777777" w:rsidTr="00EB2591">
        <w:tc>
          <w:tcPr>
            <w:tcW w:w="9356" w:type="dxa"/>
            <w:shd w:val="clear" w:color="auto" w:fill="D9D9D9" w:themeFill="background1" w:themeFillShade="D9"/>
          </w:tcPr>
          <w:p w14:paraId="52B47B0A" w14:textId="317AB4F4" w:rsidR="003345D4" w:rsidRPr="003345D4" w:rsidRDefault="003345D4" w:rsidP="00F31805">
            <w:pPr>
              <w:rPr>
                <w:rFonts w:ascii="Trinite Roman Wide" w:hAnsi="Trinite Roman Wide"/>
                <w:b/>
              </w:rPr>
            </w:pPr>
            <w:r w:rsidRPr="003345D4">
              <w:rPr>
                <w:rFonts w:ascii="Trinite Roman Wide" w:hAnsi="Trinite Roman Wide"/>
                <w:b/>
              </w:rPr>
              <w:t>Opdracht 2</w:t>
            </w:r>
          </w:p>
        </w:tc>
      </w:tr>
      <w:tr w:rsidR="003345D4" w:rsidRPr="004F2DEE" w14:paraId="71577639" w14:textId="77777777" w:rsidTr="00EB2591">
        <w:tc>
          <w:tcPr>
            <w:tcW w:w="9356" w:type="dxa"/>
          </w:tcPr>
          <w:p w14:paraId="0885BF5B" w14:textId="77777777" w:rsidR="003345D4" w:rsidRDefault="003345D4" w:rsidP="00F31805">
            <w:pPr>
              <w:rPr>
                <w:rFonts w:ascii="Trinite Roman Wide" w:hAnsi="Trinite Roman Wide"/>
                <w:color w:val="C0504D" w:themeColor="accent2"/>
              </w:rPr>
            </w:pPr>
          </w:p>
          <w:p w14:paraId="0E6EB1D5" w14:textId="1796A006" w:rsidR="003345D4" w:rsidRPr="003345D4" w:rsidRDefault="003345D4" w:rsidP="00F31805">
            <w:pPr>
              <w:rPr>
                <w:rFonts w:ascii="Trinite Roman Wide" w:hAnsi="Trinite Roman Wide"/>
                <w:sz w:val="22"/>
                <w:szCs w:val="22"/>
              </w:rPr>
            </w:pPr>
            <w:r w:rsidRPr="003345D4">
              <w:rPr>
                <w:rFonts w:ascii="Trinite Roman Wide" w:hAnsi="Trinite Roman Wide"/>
                <w:sz w:val="22"/>
                <w:szCs w:val="22"/>
              </w:rPr>
              <w:t xml:space="preserve">Kies twee initiatieven van bewoners waar je je bij aansluit. Je kunt hierbij bijvoorbeeld denken aan een kerstmarkt, een dansfeest voor jongeren, een tweede hands kledingbeurs, een volkstuin, een actiecomité voor een nieuwe speeltuin. Er is altijd wel wat gaande. Informeer je hierover middels de buurtkrant en bewoners die je spreekt. Maak een fotocollage van jou en de bewoners tijdens zo’n initiatief. In de fotocollage schrijf je wat voor jou van betekenis was bij je ervaringen. Upload het en neem mee naar het werkcollege. </w:t>
            </w:r>
          </w:p>
          <w:p w14:paraId="1DF23E94" w14:textId="55FFB641" w:rsidR="003345D4" w:rsidRPr="003345D4" w:rsidRDefault="003345D4" w:rsidP="00F31805">
            <w:pPr>
              <w:rPr>
                <w:rFonts w:ascii="Trinite Roman Wide" w:hAnsi="Trinite Roman Wide"/>
                <w:color w:val="C0504D" w:themeColor="accent2"/>
              </w:rPr>
            </w:pPr>
          </w:p>
        </w:tc>
      </w:tr>
    </w:tbl>
    <w:p w14:paraId="2AA1FE8B" w14:textId="77777777" w:rsidR="004F2DEE" w:rsidRDefault="004F2DEE" w:rsidP="00F31805"/>
    <w:p w14:paraId="23AED158" w14:textId="77777777" w:rsidR="004F2DEE" w:rsidRPr="003345D4" w:rsidRDefault="004F2DEE" w:rsidP="00F31805">
      <w:pPr>
        <w:rPr>
          <w:rFonts w:ascii="Arial" w:hAnsi="Arial" w:cs="Arial"/>
          <w:b/>
          <w:color w:val="000000" w:themeColor="text1"/>
        </w:rPr>
      </w:pPr>
      <w:r w:rsidRPr="003345D4">
        <w:rPr>
          <w:rFonts w:ascii="Arial" w:hAnsi="Arial" w:cs="Arial"/>
          <w:b/>
          <w:color w:val="000000" w:themeColor="text1"/>
        </w:rPr>
        <w:t>Werkcollege</w:t>
      </w:r>
    </w:p>
    <w:p w14:paraId="04A1F550" w14:textId="77777777" w:rsidR="004F2DEE" w:rsidRDefault="004F2DEE" w:rsidP="00F31805"/>
    <w:p w14:paraId="544CB775" w14:textId="6240C57B" w:rsidR="004F2DEE" w:rsidRPr="00146FEF" w:rsidRDefault="003248C4" w:rsidP="00F31805">
      <w:pPr>
        <w:rPr>
          <w:rFonts w:ascii="Trinite Roman Wide" w:hAnsi="Trinite Roman Wide"/>
          <w:sz w:val="22"/>
          <w:szCs w:val="22"/>
        </w:rPr>
      </w:pPr>
      <w:r>
        <w:rPr>
          <w:rFonts w:ascii="Trinite Roman Wide" w:hAnsi="Trinite Roman Wide"/>
          <w:sz w:val="22"/>
          <w:szCs w:val="22"/>
        </w:rPr>
        <w:t>Het werkcollege duurt 4</w:t>
      </w:r>
      <w:r w:rsidR="004F2DEE" w:rsidRPr="00146FEF">
        <w:rPr>
          <w:rFonts w:ascii="Trinite Roman Wide" w:hAnsi="Trinite Roman Wide"/>
          <w:sz w:val="22"/>
          <w:szCs w:val="22"/>
        </w:rPr>
        <w:t xml:space="preserve"> uur.</w:t>
      </w:r>
      <w:bookmarkStart w:id="0" w:name="_GoBack"/>
      <w:bookmarkEnd w:id="0"/>
    </w:p>
    <w:p w14:paraId="1E26E297" w14:textId="22284497" w:rsidR="004F2DEE" w:rsidRPr="00146FEF" w:rsidRDefault="004F2DEE" w:rsidP="00F31805">
      <w:pPr>
        <w:rPr>
          <w:rFonts w:ascii="Trinite Roman Wide" w:hAnsi="Trinite Roman Wide"/>
          <w:sz w:val="22"/>
          <w:szCs w:val="22"/>
        </w:rPr>
      </w:pPr>
    </w:p>
    <w:p w14:paraId="54CF8196" w14:textId="77777777" w:rsidR="004F2DEE" w:rsidRPr="00146FEF" w:rsidRDefault="004F2DEE" w:rsidP="00F31805">
      <w:pPr>
        <w:rPr>
          <w:rFonts w:ascii="Trinite Roman Wide" w:hAnsi="Trinite Roman Wide"/>
          <w:sz w:val="22"/>
          <w:szCs w:val="22"/>
        </w:rPr>
      </w:pPr>
      <w:r w:rsidRPr="00146FEF">
        <w:rPr>
          <w:rFonts w:ascii="Trinite Roman Wide" w:hAnsi="Trinite Roman Wide"/>
          <w:sz w:val="22"/>
          <w:szCs w:val="22"/>
        </w:rPr>
        <w:t>We volgen de thema’s uit de digitale leeromgeving. We starten met een korte inleiding en zullen aan de hand van de praktijkervaringen uit de digitale leeromgeving en eigen casuïstiek gericht zijn op toepassen van kennis op de eigen praktijk. Daartoe maken we gebruik van diverse didactische werkvormen.</w:t>
      </w:r>
    </w:p>
    <w:p w14:paraId="1C51D836" w14:textId="77777777" w:rsidR="00274045" w:rsidRPr="00146FEF" w:rsidRDefault="00274045" w:rsidP="00F31805">
      <w:pPr>
        <w:rPr>
          <w:rFonts w:ascii="Trinite Roman Wide" w:hAnsi="Trinite Roman Wide" w:cs="Arial"/>
          <w:b/>
          <w:bCs/>
          <w:sz w:val="22"/>
          <w:szCs w:val="22"/>
        </w:rPr>
      </w:pPr>
    </w:p>
    <w:sectPr w:rsidR="00274045" w:rsidRPr="00146FEF" w:rsidSect="003345D4">
      <w:headerReference w:type="default" r:id="rId12"/>
      <w:footerReference w:type="default" r:id="rId1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D86A" w14:textId="77777777" w:rsidR="00274045" w:rsidRDefault="00274045" w:rsidP="00274045">
      <w:r>
        <w:separator/>
      </w:r>
    </w:p>
  </w:endnote>
  <w:endnote w:type="continuationSeparator" w:id="0">
    <w:p w14:paraId="1C51D86B" w14:textId="77777777" w:rsidR="00274045" w:rsidRDefault="00274045" w:rsidP="0027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inite Roman Wide">
    <w:altName w:val="Calibri"/>
    <w:panose1 w:val="020B0500000000000000"/>
    <w:charset w:val="00"/>
    <w:family w:val="swiss"/>
    <w:pitch w:val="variable"/>
    <w:sig w:usb0="800000A7" w:usb1="00000000" w:usb2="00000000" w:usb3="00000000" w:csb0="0000000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D86F" w14:textId="77777777" w:rsidR="009F6C82" w:rsidRDefault="00274045" w:rsidP="00274045">
    <w:pPr>
      <w:pStyle w:val="Voettekst"/>
      <w:pBdr>
        <w:top w:val="single" w:sz="4" w:space="1" w:color="auto"/>
      </w:pBdr>
      <w:rPr>
        <w:rFonts w:ascii="Trinite Roman Wide" w:hAnsi="Trinite Roman Wide" w:cs="Trinite Roman Wide"/>
        <w:sz w:val="20"/>
        <w:szCs w:val="20"/>
      </w:rPr>
    </w:pPr>
    <w:r w:rsidRPr="00143BF5">
      <w:rPr>
        <w:rFonts w:ascii="Trinite Roman Wide" w:hAnsi="Trinite Roman Wide" w:cs="Trinite Roman Wide"/>
        <w:sz w:val="20"/>
        <w:szCs w:val="20"/>
      </w:rPr>
      <w:t xml:space="preserve">© </w:t>
    </w:r>
    <w:r w:rsidR="00DF6436">
      <w:rPr>
        <w:rFonts w:ascii="Trinite Roman Wide" w:hAnsi="Trinite Roman Wide" w:cs="Trinite Roman Wide"/>
        <w:sz w:val="20"/>
        <w:szCs w:val="20"/>
      </w:rPr>
      <w:t>Hanzehogeschool</w:t>
    </w:r>
    <w:r w:rsidRPr="00143BF5">
      <w:rPr>
        <w:rFonts w:ascii="Trinite Roman Wide" w:hAnsi="Trinite Roman Wide" w:cs="Trinite Roman Wide"/>
        <w:sz w:val="20"/>
        <w:szCs w:val="20"/>
      </w:rPr>
      <w:t xml:space="preserve"> </w:t>
    </w:r>
    <w:r w:rsidR="009F6C82">
      <w:rPr>
        <w:rFonts w:ascii="Trinite Roman Wide" w:hAnsi="Trinite Roman Wide" w:cs="Trinite Roman Wide"/>
        <w:sz w:val="20"/>
        <w:szCs w:val="20"/>
      </w:rPr>
      <w:t xml:space="preserve">Groningen </w:t>
    </w:r>
    <w:r w:rsidR="00032902">
      <w:rPr>
        <w:rFonts w:ascii="Trinite Roman Wide" w:hAnsi="Trinite Roman Wide" w:cs="Trinite Roman Wide"/>
        <w:sz w:val="20"/>
        <w:szCs w:val="20"/>
      </w:rPr>
      <w:t>P</w:t>
    </w:r>
    <w:r w:rsidR="009F6C82">
      <w:rPr>
        <w:rFonts w:ascii="Trinite Roman Wide" w:hAnsi="Trinite Roman Wide" w:cs="Trinite Roman Wide"/>
        <w:sz w:val="20"/>
        <w:szCs w:val="20"/>
      </w:rPr>
      <w:t xml:space="preserve">rofessionals en </w:t>
    </w:r>
    <w:r w:rsidR="00032902">
      <w:rPr>
        <w:rFonts w:ascii="Trinite Roman Wide" w:hAnsi="Trinite Roman Wide" w:cs="Trinite Roman Wide"/>
        <w:sz w:val="20"/>
        <w:szCs w:val="20"/>
      </w:rPr>
      <w:t>B</w:t>
    </w:r>
    <w:r w:rsidR="009F6C82">
      <w:rPr>
        <w:rFonts w:ascii="Trinite Roman Wide" w:hAnsi="Trinite Roman Wide" w:cs="Trinite Roman Wide"/>
        <w:sz w:val="20"/>
        <w:szCs w:val="20"/>
      </w:rPr>
      <w:t xml:space="preserve">edrijven </w:t>
    </w:r>
    <w:r w:rsidR="00032902">
      <w:rPr>
        <w:rFonts w:ascii="Trinite Roman Wide" w:hAnsi="Trinite Roman Wide" w:cs="Trinite Roman Wide"/>
        <w:sz w:val="20"/>
        <w:szCs w:val="20"/>
      </w:rPr>
      <w:t xml:space="preserve">– </w:t>
    </w:r>
    <w:r w:rsidR="00723E79">
      <w:rPr>
        <w:rFonts w:ascii="Trinite Roman Wide" w:hAnsi="Trinite Roman Wide" w:cs="Trinite Roman Wide"/>
        <w:sz w:val="20"/>
        <w:szCs w:val="20"/>
      </w:rPr>
      <w:t xml:space="preserve">Academie voor Sociale Studies </w:t>
    </w:r>
  </w:p>
  <w:p w14:paraId="1C51D870" w14:textId="77777777" w:rsidR="00274045" w:rsidRPr="00143BF5" w:rsidRDefault="00274045" w:rsidP="00274045">
    <w:pPr>
      <w:pStyle w:val="Voettekst"/>
      <w:pBdr>
        <w:top w:val="single" w:sz="4" w:space="1" w:color="auto"/>
      </w:pBdr>
      <w:rPr>
        <w:rFonts w:ascii="Trinite Roman Wide" w:hAnsi="Trinite Roman Wide" w:cs="Trinite Roman Wide"/>
        <w:sz w:val="20"/>
        <w:szCs w:val="20"/>
      </w:rPr>
    </w:pPr>
  </w:p>
  <w:p w14:paraId="1C51D871" w14:textId="77777777" w:rsidR="00274045" w:rsidRDefault="002740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D868" w14:textId="77777777" w:rsidR="00274045" w:rsidRDefault="00274045" w:rsidP="00274045">
      <w:r>
        <w:separator/>
      </w:r>
    </w:p>
  </w:footnote>
  <w:footnote w:type="continuationSeparator" w:id="0">
    <w:p w14:paraId="1C51D869" w14:textId="77777777" w:rsidR="00274045" w:rsidRDefault="00274045" w:rsidP="0027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D86D" w14:textId="5133A5D2" w:rsidR="00723E79" w:rsidRDefault="00F31805" w:rsidP="00F31805">
    <w:pPr>
      <w:pStyle w:val="Koptekst"/>
      <w:jc w:val="right"/>
    </w:pPr>
    <w:r>
      <w:rPr>
        <w:noProof/>
      </w:rPr>
      <w:drawing>
        <wp:anchor distT="0" distB="0" distL="114300" distR="114300" simplePos="0" relativeHeight="251658240" behindDoc="0" locked="0" layoutInCell="1" allowOverlap="1" wp14:anchorId="1D81617B" wp14:editId="2A503FAB">
          <wp:simplePos x="0" y="0"/>
          <wp:positionH relativeFrom="margin">
            <wp:align>left</wp:align>
          </wp:positionH>
          <wp:positionV relativeFrom="paragraph">
            <wp:posOffset>150495</wp:posOffset>
          </wp:positionV>
          <wp:extent cx="2095500" cy="4191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nten training en advi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rPr>
        <w:rFonts w:ascii="Trinite Roman Wide" w:hAnsi="Trinite Roman Wide"/>
        <w:noProof/>
        <w:sz w:val="22"/>
        <w:szCs w:val="22"/>
      </w:rPr>
      <w:drawing>
        <wp:inline distT="0" distB="0" distL="0" distR="0" wp14:anchorId="16875E15" wp14:editId="764EF89C">
          <wp:extent cx="2476500" cy="9311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fessionals en Bedrijven.JPG"/>
                  <pic:cNvPicPr/>
                </pic:nvPicPr>
                <pic:blipFill>
                  <a:blip r:embed="rId2">
                    <a:extLst>
                      <a:ext uri="{28A0092B-C50C-407E-A947-70E740481C1C}">
                        <a14:useLocalDpi xmlns:a14="http://schemas.microsoft.com/office/drawing/2010/main" val="0"/>
                      </a:ext>
                    </a:extLst>
                  </a:blip>
                  <a:stretch>
                    <a:fillRect/>
                  </a:stretch>
                </pic:blipFill>
                <pic:spPr>
                  <a:xfrm>
                    <a:off x="0" y="0"/>
                    <a:ext cx="2485806" cy="934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DD1"/>
    <w:multiLevelType w:val="hybridMultilevel"/>
    <w:tmpl w:val="20523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A25A59"/>
    <w:multiLevelType w:val="hybridMultilevel"/>
    <w:tmpl w:val="9C6EB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35342C"/>
    <w:multiLevelType w:val="hybridMultilevel"/>
    <w:tmpl w:val="DBF86BF0"/>
    <w:lvl w:ilvl="0" w:tplc="76C4D2C2">
      <w:numFmt w:val="bullet"/>
      <w:lvlText w:val="-"/>
      <w:lvlJc w:val="left"/>
      <w:pPr>
        <w:ind w:left="708" w:hanging="360"/>
      </w:pPr>
      <w:rPr>
        <w:rFonts w:ascii="Times New Roman" w:eastAsia="Times New Roman" w:hAnsi="Times New Roman" w:cs="Times New Roman"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 w15:restartNumberingAfterBreak="0">
    <w:nsid w:val="2AF70402"/>
    <w:multiLevelType w:val="hybridMultilevel"/>
    <w:tmpl w:val="8F6CBE7C"/>
    <w:lvl w:ilvl="0" w:tplc="36A0299E">
      <w:numFmt w:val="bullet"/>
      <w:lvlText w:val="-"/>
      <w:lvlJc w:val="left"/>
      <w:pPr>
        <w:ind w:left="720" w:hanging="360"/>
      </w:pPr>
      <w:rPr>
        <w:rFonts w:ascii="Times New Roman" w:eastAsia="Times New Roman" w:hAnsi="Times New Roman"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CD3A64"/>
    <w:multiLevelType w:val="hybridMultilevel"/>
    <w:tmpl w:val="28883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2836AA4"/>
    <w:multiLevelType w:val="hybridMultilevel"/>
    <w:tmpl w:val="B5F4F050"/>
    <w:lvl w:ilvl="0" w:tplc="319A706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C52F07"/>
    <w:multiLevelType w:val="hybridMultilevel"/>
    <w:tmpl w:val="FD369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B560B1"/>
    <w:multiLevelType w:val="hybridMultilevel"/>
    <w:tmpl w:val="29F046C0"/>
    <w:lvl w:ilvl="0" w:tplc="C088C8FE">
      <w:numFmt w:val="bullet"/>
      <w:lvlText w:val="-"/>
      <w:lvlJc w:val="left"/>
      <w:pPr>
        <w:ind w:left="643" w:hanging="360"/>
      </w:pPr>
      <w:rPr>
        <w:rFonts w:ascii="Times New Roman" w:eastAsia="Times New Roman" w:hAnsi="Times New Roman" w:cs="Times New Roman" w:hint="default"/>
        <w:color w:val="auto"/>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8" w15:restartNumberingAfterBreak="0">
    <w:nsid w:val="5AE85146"/>
    <w:multiLevelType w:val="hybridMultilevel"/>
    <w:tmpl w:val="45043FA4"/>
    <w:lvl w:ilvl="0" w:tplc="76C4D2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105AB7"/>
    <w:multiLevelType w:val="hybridMultilevel"/>
    <w:tmpl w:val="1AB84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4B4BF9"/>
    <w:multiLevelType w:val="hybridMultilevel"/>
    <w:tmpl w:val="C8785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D61343"/>
    <w:multiLevelType w:val="hybridMultilevel"/>
    <w:tmpl w:val="5C164034"/>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12" w15:restartNumberingAfterBreak="0">
    <w:nsid w:val="72A50527"/>
    <w:multiLevelType w:val="hybridMultilevel"/>
    <w:tmpl w:val="B7EC641C"/>
    <w:lvl w:ilvl="0" w:tplc="8618C380">
      <w:numFmt w:val="bullet"/>
      <w:lvlText w:val="-"/>
      <w:lvlJc w:val="left"/>
      <w:pPr>
        <w:ind w:left="720" w:hanging="360"/>
      </w:pPr>
      <w:rPr>
        <w:rFonts w:ascii="Times New Roman" w:eastAsia="Times New Roman" w:hAnsi="Times New Roman"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0F03FD"/>
    <w:multiLevelType w:val="hybridMultilevel"/>
    <w:tmpl w:val="58701890"/>
    <w:lvl w:ilvl="0" w:tplc="0413000F">
      <w:start w:val="1"/>
      <w:numFmt w:val="decimal"/>
      <w:lvlText w:val="%1."/>
      <w:lvlJc w:val="left"/>
      <w:pPr>
        <w:ind w:left="709" w:hanging="360"/>
      </w:pPr>
    </w:lvl>
    <w:lvl w:ilvl="1" w:tplc="04130019" w:tentative="1">
      <w:start w:val="1"/>
      <w:numFmt w:val="lowerLetter"/>
      <w:lvlText w:val="%2."/>
      <w:lvlJc w:val="left"/>
      <w:pPr>
        <w:ind w:left="1429" w:hanging="360"/>
      </w:pPr>
    </w:lvl>
    <w:lvl w:ilvl="2" w:tplc="0413001B" w:tentative="1">
      <w:start w:val="1"/>
      <w:numFmt w:val="lowerRoman"/>
      <w:lvlText w:val="%3."/>
      <w:lvlJc w:val="right"/>
      <w:pPr>
        <w:ind w:left="2149" w:hanging="180"/>
      </w:pPr>
    </w:lvl>
    <w:lvl w:ilvl="3" w:tplc="0413000F" w:tentative="1">
      <w:start w:val="1"/>
      <w:numFmt w:val="decimal"/>
      <w:lvlText w:val="%4."/>
      <w:lvlJc w:val="left"/>
      <w:pPr>
        <w:ind w:left="2869" w:hanging="360"/>
      </w:pPr>
    </w:lvl>
    <w:lvl w:ilvl="4" w:tplc="04130019" w:tentative="1">
      <w:start w:val="1"/>
      <w:numFmt w:val="lowerLetter"/>
      <w:lvlText w:val="%5."/>
      <w:lvlJc w:val="left"/>
      <w:pPr>
        <w:ind w:left="3589" w:hanging="360"/>
      </w:pPr>
    </w:lvl>
    <w:lvl w:ilvl="5" w:tplc="0413001B" w:tentative="1">
      <w:start w:val="1"/>
      <w:numFmt w:val="lowerRoman"/>
      <w:lvlText w:val="%6."/>
      <w:lvlJc w:val="right"/>
      <w:pPr>
        <w:ind w:left="4309" w:hanging="180"/>
      </w:pPr>
    </w:lvl>
    <w:lvl w:ilvl="6" w:tplc="0413000F" w:tentative="1">
      <w:start w:val="1"/>
      <w:numFmt w:val="decimal"/>
      <w:lvlText w:val="%7."/>
      <w:lvlJc w:val="left"/>
      <w:pPr>
        <w:ind w:left="5029" w:hanging="360"/>
      </w:pPr>
    </w:lvl>
    <w:lvl w:ilvl="7" w:tplc="04130019" w:tentative="1">
      <w:start w:val="1"/>
      <w:numFmt w:val="lowerLetter"/>
      <w:lvlText w:val="%8."/>
      <w:lvlJc w:val="left"/>
      <w:pPr>
        <w:ind w:left="5749" w:hanging="360"/>
      </w:pPr>
    </w:lvl>
    <w:lvl w:ilvl="8" w:tplc="0413001B" w:tentative="1">
      <w:start w:val="1"/>
      <w:numFmt w:val="lowerRoman"/>
      <w:lvlText w:val="%9."/>
      <w:lvlJc w:val="right"/>
      <w:pPr>
        <w:ind w:left="6469" w:hanging="180"/>
      </w:pPr>
    </w:lvl>
  </w:abstractNum>
  <w:num w:numId="1">
    <w:abstractNumId w:val="4"/>
  </w:num>
  <w:num w:numId="2">
    <w:abstractNumId w:val="9"/>
  </w:num>
  <w:num w:numId="3">
    <w:abstractNumId w:val="10"/>
  </w:num>
  <w:num w:numId="4">
    <w:abstractNumId w:val="13"/>
  </w:num>
  <w:num w:numId="5">
    <w:abstractNumId w:val="0"/>
  </w:num>
  <w:num w:numId="6">
    <w:abstractNumId w:val="1"/>
  </w:num>
  <w:num w:numId="7">
    <w:abstractNumId w:val="11"/>
  </w:num>
  <w:num w:numId="8">
    <w:abstractNumId w:val="6"/>
  </w:num>
  <w:num w:numId="9">
    <w:abstractNumId w:val="5"/>
  </w:num>
  <w:num w:numId="10">
    <w:abstractNumId w:val="7"/>
  </w:num>
  <w:num w:numId="11">
    <w:abstractNumId w:val="2"/>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45"/>
    <w:rsid w:val="00032902"/>
    <w:rsid w:val="00054DD5"/>
    <w:rsid w:val="000D75DF"/>
    <w:rsid w:val="00146FEF"/>
    <w:rsid w:val="00171566"/>
    <w:rsid w:val="0019386C"/>
    <w:rsid w:val="00274045"/>
    <w:rsid w:val="00316485"/>
    <w:rsid w:val="003248C4"/>
    <w:rsid w:val="003345D4"/>
    <w:rsid w:val="003B310D"/>
    <w:rsid w:val="004E5900"/>
    <w:rsid w:val="004F2C09"/>
    <w:rsid w:val="004F2DEE"/>
    <w:rsid w:val="00614FDA"/>
    <w:rsid w:val="006E1719"/>
    <w:rsid w:val="00723E79"/>
    <w:rsid w:val="00784CE1"/>
    <w:rsid w:val="0081695A"/>
    <w:rsid w:val="008A35A8"/>
    <w:rsid w:val="009F491F"/>
    <w:rsid w:val="009F6C82"/>
    <w:rsid w:val="00A20C71"/>
    <w:rsid w:val="00A30485"/>
    <w:rsid w:val="00AC07FD"/>
    <w:rsid w:val="00B4654E"/>
    <w:rsid w:val="00B561AF"/>
    <w:rsid w:val="00C9591C"/>
    <w:rsid w:val="00D248D6"/>
    <w:rsid w:val="00DF6436"/>
    <w:rsid w:val="00E829E4"/>
    <w:rsid w:val="00F31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1D835"/>
  <w15:docId w15:val="{12AF4C94-DA01-4827-B62B-F55A6761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04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274045"/>
    <w:rPr>
      <w:rFonts w:ascii="Courier New" w:hAnsi="Courier New"/>
      <w:sz w:val="20"/>
      <w:szCs w:val="20"/>
    </w:rPr>
  </w:style>
  <w:style w:type="character" w:customStyle="1" w:styleId="TekstzonderopmaakChar">
    <w:name w:val="Tekst zonder opmaak Char"/>
    <w:basedOn w:val="Standaardalinea-lettertype"/>
    <w:link w:val="Tekstzonderopmaak"/>
    <w:rsid w:val="00274045"/>
    <w:rPr>
      <w:rFonts w:ascii="Courier New" w:eastAsia="Times New Roman" w:hAnsi="Courier New" w:cs="Times New Roman"/>
      <w:sz w:val="20"/>
      <w:szCs w:val="20"/>
      <w:lang w:eastAsia="nl-NL"/>
    </w:rPr>
  </w:style>
  <w:style w:type="paragraph" w:styleId="Koptekst">
    <w:name w:val="header"/>
    <w:basedOn w:val="Standaard"/>
    <w:link w:val="KoptekstChar"/>
    <w:unhideWhenUsed/>
    <w:rsid w:val="00274045"/>
    <w:pPr>
      <w:tabs>
        <w:tab w:val="center" w:pos="4536"/>
        <w:tab w:val="right" w:pos="9072"/>
      </w:tabs>
    </w:pPr>
  </w:style>
  <w:style w:type="character" w:customStyle="1" w:styleId="KoptekstChar">
    <w:name w:val="Koptekst Char"/>
    <w:basedOn w:val="Standaardalinea-lettertype"/>
    <w:link w:val="Koptekst"/>
    <w:rsid w:val="00274045"/>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74045"/>
    <w:pPr>
      <w:tabs>
        <w:tab w:val="center" w:pos="4536"/>
        <w:tab w:val="right" w:pos="9072"/>
      </w:tabs>
    </w:pPr>
  </w:style>
  <w:style w:type="character" w:customStyle="1" w:styleId="VoettekstChar">
    <w:name w:val="Voettekst Char"/>
    <w:basedOn w:val="Standaardalinea-lettertype"/>
    <w:link w:val="Voettekst"/>
    <w:uiPriority w:val="99"/>
    <w:rsid w:val="00274045"/>
    <w:rPr>
      <w:rFonts w:ascii="Times New Roman" w:eastAsia="Times New Roman" w:hAnsi="Times New Roman" w:cs="Times New Roman"/>
      <w:sz w:val="24"/>
      <w:szCs w:val="24"/>
      <w:lang w:eastAsia="nl-NL"/>
    </w:rPr>
  </w:style>
  <w:style w:type="table" w:styleId="Tabelraster">
    <w:name w:val="Table Grid"/>
    <w:basedOn w:val="Standaardtabel"/>
    <w:uiPriority w:val="99"/>
    <w:rsid w:val="009F491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91F"/>
    <w:pPr>
      <w:ind w:left="720"/>
      <w:contextualSpacing/>
    </w:pPr>
    <w:rPr>
      <w:rFonts w:ascii="Trinite Roman Wide" w:hAnsi="Trinite Roman Wide" w:cs="Trinite Roman Wide"/>
      <w:sz w:val="22"/>
      <w:szCs w:val="22"/>
    </w:rPr>
  </w:style>
  <w:style w:type="paragraph" w:customStyle="1" w:styleId="Default">
    <w:name w:val="Default"/>
    <w:rsid w:val="004F2DEE"/>
    <w:pPr>
      <w:autoSpaceDE w:val="0"/>
      <w:autoSpaceDN w:val="0"/>
      <w:adjustRightInd w:val="0"/>
      <w:spacing w:after="120" w:line="264" w:lineRule="auto"/>
    </w:pPr>
    <w:rPr>
      <w:rFonts w:ascii="Arial" w:eastAsiaTheme="minorEastAsia" w:hAnsi="Arial" w:cs="Arial"/>
      <w:color w:val="000000"/>
      <w:sz w:val="24"/>
      <w:szCs w:val="24"/>
      <w:lang w:eastAsia="nl-NL"/>
    </w:rPr>
  </w:style>
  <w:style w:type="character" w:styleId="Hyperlink">
    <w:name w:val="Hyperlink"/>
    <w:basedOn w:val="Standaardalinea-lettertype"/>
    <w:rsid w:val="004F2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entie.nl/video/presentie-toegelicht/item/4-presentie-in-10-minut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DCBAEF781CE43850DC89E810D4452" ma:contentTypeVersion="0" ma:contentTypeDescription="Een nieuw document maken." ma:contentTypeScope="" ma:versionID="2a3552395f6dbfef72f2c42b71afd81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9CBA-776A-40D1-9B8F-BA4E36D97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55E012-487D-40C3-B9E0-A51D6CA52522}">
  <ds:schemaRefs>
    <ds:schemaRef ds:uri="http://schemas.microsoft.com/sharepoint/v3/contenttype/forms"/>
  </ds:schemaRefs>
</ds:datastoreItem>
</file>

<file path=customXml/itemProps3.xml><?xml version="1.0" encoding="utf-8"?>
<ds:datastoreItem xmlns:ds="http://schemas.openxmlformats.org/officeDocument/2006/customXml" ds:itemID="{AA50C62B-9EAA-42DE-A1E6-4C1C0D6D0DD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5282827-10A8-47A8-BE7F-ABE78D08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8DCCC367.dotm</Template>
  <TotalTime>17</TotalTime>
  <Pages>2</Pages>
  <Words>593</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Hanze Hogeschool Groningen</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WECA</dc:creator>
  <cp:lastModifiedBy>Mol ABM, Anja</cp:lastModifiedBy>
  <cp:revision>6</cp:revision>
  <cp:lastPrinted>2011-03-14T10:56:00Z</cp:lastPrinted>
  <dcterms:created xsi:type="dcterms:W3CDTF">2017-10-17T13:40:00Z</dcterms:created>
  <dcterms:modified xsi:type="dcterms:W3CDTF">2018-02-07T10:15:00Z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0x0101003D9DCBAEF781CE43850DC89E810D4452</vt:lpwstr>
  </property>
</Properties>
</file>